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56AC" w:rsidRPr="00F33018" w:rsidRDefault="00F33018" w:rsidP="00F3301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Cs/>
          <w:sz w:val="20"/>
          <w:szCs w:val="20"/>
          <w:lang w:eastAsia="ru-RU"/>
        </w:rPr>
        <w:t>Протокол № 274</w:t>
      </w:r>
    </w:p>
    <w:p w:rsidR="004056AC" w:rsidRPr="00F33018" w:rsidRDefault="00F33018" w:rsidP="00F33018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поставку компьютерного оборудования </w:t>
      </w:r>
    </w:p>
    <w:p w:rsidR="004056AC" w:rsidRPr="00F33018" w:rsidRDefault="00F33018" w:rsidP="00F33018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Cs/>
          <w:sz w:val="20"/>
          <w:szCs w:val="20"/>
          <w:lang w:eastAsia="ru-RU"/>
        </w:rPr>
        <w:t>и запасных частей</w:t>
      </w:r>
    </w:p>
    <w:p w:rsidR="004056AC" w:rsidRPr="00F33018" w:rsidRDefault="00F33018" w:rsidP="00F330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>г. Пенза</w:t>
      </w:r>
      <w:r w:rsidRPr="00F33018">
        <w:rPr>
          <w:rFonts w:ascii="Times New Roman" w:hAnsi="Times New Roman"/>
          <w:sz w:val="20"/>
          <w:szCs w:val="20"/>
          <w:lang w:eastAsia="ru-RU"/>
        </w:rPr>
        <w:tab/>
      </w:r>
      <w:r w:rsidRPr="00F33018">
        <w:rPr>
          <w:rFonts w:ascii="Times New Roman" w:hAnsi="Times New Roman"/>
          <w:sz w:val="20"/>
          <w:szCs w:val="20"/>
          <w:lang w:eastAsia="ru-RU"/>
        </w:rPr>
        <w:tab/>
      </w:r>
      <w:r w:rsidRPr="00F33018">
        <w:rPr>
          <w:rFonts w:ascii="Times New Roman" w:hAnsi="Times New Roman"/>
          <w:sz w:val="20"/>
          <w:szCs w:val="20"/>
          <w:lang w:eastAsia="ru-RU"/>
        </w:rPr>
        <w:tab/>
      </w:r>
      <w:r w:rsidRPr="00F33018">
        <w:rPr>
          <w:rFonts w:ascii="Times New Roman" w:hAnsi="Times New Roman"/>
          <w:sz w:val="20"/>
          <w:szCs w:val="20"/>
          <w:lang w:eastAsia="ru-RU"/>
        </w:rPr>
        <w:tab/>
      </w:r>
      <w:r w:rsidRPr="00F33018">
        <w:rPr>
          <w:rFonts w:ascii="Times New Roman" w:hAnsi="Times New Roman"/>
          <w:sz w:val="20"/>
          <w:szCs w:val="20"/>
          <w:lang w:eastAsia="ru-RU"/>
        </w:rPr>
        <w:tab/>
      </w:r>
      <w:r w:rsidRPr="00F33018"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 w:rsidRPr="00F33018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«04» октября 2019 года</w:t>
      </w:r>
    </w:p>
    <w:p w:rsidR="004056AC" w:rsidRPr="00F33018" w:rsidRDefault="00F33018" w:rsidP="00F3301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 w:rsidRPr="00F33018"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F33018">
        <w:rPr>
          <w:rFonts w:ascii="Times New Roman" w:hAnsi="Times New Roman"/>
          <w:bCs/>
          <w:sz w:val="20"/>
          <w:szCs w:val="20"/>
          <w:lang w:eastAsia="ru-RU"/>
        </w:rPr>
        <w:t>компьютерного оборудования и запасных частей</w:t>
      </w:r>
    </w:p>
    <w:p w:rsidR="004056AC" w:rsidRPr="00F33018" w:rsidRDefault="00F33018" w:rsidP="00F3301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 w:rsidRPr="00F33018"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</w:t>
      </w:r>
    </w:p>
    <w:p w:rsidR="004056AC" w:rsidRPr="00F33018" w:rsidRDefault="00F33018" w:rsidP="00F3301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>сокращенное официальное наименование учреждения: ЧУЗ «КБ «РЖД-Медицина» г. Пенза»</w:t>
      </w:r>
    </w:p>
    <w:p w:rsidR="004056AC" w:rsidRPr="00F33018" w:rsidRDefault="00F33018" w:rsidP="00F33018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  <w:r w:rsidRPr="00F33018">
        <w:rPr>
          <w:rFonts w:ascii="Times New Roman" w:hAnsi="Times New Roman"/>
          <w:sz w:val="20"/>
          <w:szCs w:val="20"/>
        </w:rPr>
        <w:t xml:space="preserve">Наименование заказа: </w:t>
      </w:r>
      <w:r w:rsidRPr="00F33018"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F33018">
        <w:rPr>
          <w:rFonts w:ascii="Times New Roman" w:hAnsi="Times New Roman"/>
          <w:bCs/>
          <w:sz w:val="20"/>
          <w:szCs w:val="20"/>
          <w:lang w:eastAsia="ru-RU"/>
        </w:rPr>
        <w:t>компьютерного оборудования и запасных частей</w:t>
      </w:r>
    </w:p>
    <w:p w:rsidR="004056AC" w:rsidRPr="00F33018" w:rsidRDefault="00F33018" w:rsidP="00F330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 w:rsidRPr="00F33018">
        <w:rPr>
          <w:rFonts w:ascii="Times New Roman" w:hAnsi="Times New Roman"/>
          <w:bCs/>
          <w:sz w:val="20"/>
          <w:szCs w:val="20"/>
          <w:lang w:eastAsia="ru-RU"/>
        </w:rPr>
        <w:t xml:space="preserve">581 758 </w:t>
      </w:r>
      <w:r w:rsidRPr="00F33018">
        <w:rPr>
          <w:rFonts w:ascii="Times New Roman" w:hAnsi="Times New Roman"/>
          <w:sz w:val="20"/>
          <w:szCs w:val="20"/>
          <w:lang w:eastAsia="ru-RU"/>
        </w:rPr>
        <w:t>(Пятьсот восемьдесят одна тысяча семьсот пятьдесят восемь) рублей</w:t>
      </w:r>
      <w:r w:rsidRPr="00F33018">
        <w:rPr>
          <w:rFonts w:ascii="Times New Roman" w:hAnsi="Times New Roman"/>
          <w:bCs/>
          <w:sz w:val="20"/>
          <w:szCs w:val="20"/>
          <w:lang w:eastAsia="ru-RU"/>
        </w:rPr>
        <w:t xml:space="preserve"> 86</w:t>
      </w: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F33018">
        <w:rPr>
          <w:rFonts w:ascii="Times New Roman" w:hAnsi="Times New Roman"/>
          <w:sz w:val="20"/>
          <w:szCs w:val="20"/>
          <w:lang w:eastAsia="ru-RU"/>
        </w:rPr>
        <w:t xml:space="preserve">коп.  </w:t>
      </w:r>
    </w:p>
    <w:p w:rsidR="004056AC" w:rsidRPr="00F33018" w:rsidRDefault="00F33018" w:rsidP="00F330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 w:rsidRPr="00F33018"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 w:rsidRPr="00F33018"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 w:rsidRPr="00F33018"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 w:rsidRPr="00F33018"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 w:rsidRPr="00F33018">
        <w:rPr>
          <w:rFonts w:ascii="Times New Roman" w:hAnsi="Times New Roman"/>
          <w:sz w:val="20"/>
          <w:szCs w:val="20"/>
          <w:u w:val="single"/>
          <w:lang w:eastAsia="ru-RU"/>
        </w:rPr>
        <w:t xml:space="preserve">.okb58.ru </w:t>
      </w:r>
      <w:r w:rsidRPr="00F33018">
        <w:rPr>
          <w:rFonts w:ascii="Times New Roman" w:hAnsi="Times New Roman"/>
          <w:sz w:val="20"/>
          <w:szCs w:val="20"/>
          <w:lang w:eastAsia="ru-RU"/>
        </w:rPr>
        <w:t>«27» сентября 2019г.</w:t>
      </w:r>
    </w:p>
    <w:p w:rsidR="004056AC" w:rsidRPr="00F33018" w:rsidRDefault="00F33018" w:rsidP="00F3301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4056AC" w:rsidRPr="00F33018" w:rsidRDefault="00F33018" w:rsidP="00F3301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4056AC" w:rsidRPr="00F33018" w:rsidRDefault="00F33018" w:rsidP="00F3301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>Председатель</w:t>
      </w:r>
      <w:r w:rsidRPr="00F33018"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 w:rsidRPr="00F33018">
        <w:rPr>
          <w:rFonts w:ascii="Times New Roman" w:hAnsi="Times New Roman"/>
          <w:sz w:val="20"/>
          <w:szCs w:val="20"/>
        </w:rPr>
        <w:t>Герцог Наталья Андреевна</w:t>
      </w:r>
      <w:r w:rsidRPr="00F33018"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4056AC" w:rsidRPr="00F33018" w:rsidRDefault="00F33018" w:rsidP="00F330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 w:rsidRPr="00F33018"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 w:rsidRPr="00F33018"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Борисовна;</w:t>
      </w:r>
    </w:p>
    <w:p w:rsidR="004056AC" w:rsidRPr="00F33018" w:rsidRDefault="00F33018" w:rsidP="00F330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4056AC" w:rsidRPr="00F33018" w:rsidRDefault="00F33018" w:rsidP="00F330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Cs/>
          <w:sz w:val="20"/>
          <w:szCs w:val="20"/>
          <w:lang w:eastAsia="ru-RU"/>
        </w:rPr>
        <w:t xml:space="preserve">Кузнецова Вера Петровна </w:t>
      </w:r>
    </w:p>
    <w:p w:rsidR="004056AC" w:rsidRPr="00F33018" w:rsidRDefault="00F33018" w:rsidP="00F330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Cs/>
          <w:sz w:val="20"/>
          <w:szCs w:val="20"/>
          <w:lang w:eastAsia="ru-RU"/>
        </w:rPr>
        <w:t>Юсина Татьяна Петровна</w:t>
      </w:r>
    </w:p>
    <w:p w:rsidR="004056AC" w:rsidRPr="00F33018" w:rsidRDefault="00F33018" w:rsidP="00F330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Cs/>
          <w:sz w:val="20"/>
          <w:szCs w:val="20"/>
          <w:lang w:eastAsia="ru-RU"/>
        </w:rPr>
        <w:t>Горбачев Дмитрий Александрович</w:t>
      </w:r>
    </w:p>
    <w:p w:rsidR="004056AC" w:rsidRPr="00F33018" w:rsidRDefault="00F33018" w:rsidP="00F330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4056AC" w:rsidRPr="00F33018" w:rsidRDefault="00F33018" w:rsidP="00F3301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4056AC" w:rsidRPr="00F33018" w:rsidRDefault="00F33018" w:rsidP="00F33018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4056AC" w:rsidRPr="00F33018" w:rsidRDefault="00F33018" w:rsidP="00F33018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«04» октября 2019 года по адресу: </w:t>
      </w:r>
      <w:r w:rsidRPr="00F33018"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4056AC" w:rsidRPr="00F33018" w:rsidRDefault="00F33018" w:rsidP="00F3301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 w:rsidRPr="00F33018"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4056AC" w:rsidRPr="00F33018" w:rsidRDefault="00F33018" w:rsidP="00F33018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4056AC" w:rsidRPr="00F33018" w:rsidRDefault="00F33018" w:rsidP="00F33018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«04» октября 2019 года </w:t>
      </w:r>
      <w:r w:rsidRPr="00F3301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представлено 2 (два) запечатанных конвер</w:t>
      </w:r>
      <w:r w:rsidRPr="00F33018">
        <w:rPr>
          <w:rFonts w:ascii="Times New Roman" w:hAnsi="Times New Roman"/>
          <w:sz w:val="20"/>
          <w:szCs w:val="20"/>
          <w:lang w:eastAsia="ru-RU"/>
        </w:rPr>
        <w:t xml:space="preserve">та.  </w:t>
      </w:r>
    </w:p>
    <w:p w:rsidR="004056AC" w:rsidRPr="00F33018" w:rsidRDefault="00F33018" w:rsidP="00F33018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запросе котировок,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4056AC" w:rsidRPr="00F33018" w:rsidRDefault="00F33018" w:rsidP="00F33018">
      <w:pPr>
        <w:pStyle w:val="ac"/>
        <w:ind w:left="0" w:firstLine="708"/>
        <w:contextualSpacing/>
        <w:jc w:val="both"/>
        <w:outlineLvl w:val="0"/>
        <w:rPr>
          <w:rFonts w:ascii="Times New Roman" w:hAnsi="Times New Roman"/>
        </w:rPr>
      </w:pPr>
      <w:r w:rsidRPr="00F33018">
        <w:rPr>
          <w:rFonts w:ascii="Times New Roman" w:hAnsi="Times New Roman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4056AC" w:rsidRPr="00F33018" w:rsidRDefault="00F33018" w:rsidP="00F33018">
      <w:pPr>
        <w:pStyle w:val="ac"/>
        <w:ind w:left="0" w:firstLine="708"/>
        <w:contextualSpacing/>
        <w:jc w:val="both"/>
        <w:outlineLvl w:val="0"/>
        <w:rPr>
          <w:rFonts w:ascii="Times New Roman" w:hAnsi="Times New Roman"/>
        </w:rPr>
      </w:pPr>
      <w:r w:rsidRPr="00F33018">
        <w:rPr>
          <w:rFonts w:ascii="Times New Roman" w:hAnsi="Times New Roman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4056AC" w:rsidRPr="00F33018" w:rsidRDefault="00F33018">
      <w:pPr>
        <w:pStyle w:val="ac"/>
        <w:ind w:left="0" w:firstLine="708"/>
        <w:contextualSpacing/>
        <w:jc w:val="both"/>
        <w:outlineLvl w:val="0"/>
        <w:rPr>
          <w:rFonts w:ascii="Times New Roman" w:hAnsi="Times New Roman"/>
        </w:rPr>
      </w:pPr>
      <w:r w:rsidRPr="00F33018"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30" w:type="dxa"/>
        <w:tblInd w:w="81" w:type="dxa"/>
        <w:tblLook w:val="0000" w:firstRow="0" w:lastRow="0" w:firstColumn="0" w:lastColumn="0" w:noHBand="0" w:noVBand="0"/>
      </w:tblPr>
      <w:tblGrid>
        <w:gridCol w:w="510"/>
        <w:gridCol w:w="1898"/>
        <w:gridCol w:w="1937"/>
        <w:gridCol w:w="1855"/>
        <w:gridCol w:w="1991"/>
        <w:gridCol w:w="2139"/>
      </w:tblGrid>
      <w:tr w:rsidR="004056AC" w:rsidRPr="00F33018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AC" w:rsidRPr="00F33018" w:rsidRDefault="00F33018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4056AC" w:rsidRPr="00F33018" w:rsidRDefault="00F33018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4056AC" w:rsidRPr="00F33018" w:rsidTr="00F33018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 w:rsidP="00F33018">
            <w:pPr>
              <w:pStyle w:val="af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2954 от 04.10.2019 г.</w:t>
            </w:r>
          </w:p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11час.30мин.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 xml:space="preserve">ИНН 5834029609  </w:t>
            </w:r>
          </w:p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 xml:space="preserve">КПП 583401001 </w:t>
            </w:r>
          </w:p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 xml:space="preserve">    ОГРН 1045802008207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ООО «Центр рекламы»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 w:rsidP="00F33018">
            <w:pPr>
              <w:pStyle w:val="offset251"/>
              <w:spacing w:beforeAutospacing="0" w:after="0" w:afterAutospacing="0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580 265,00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bookmarkStart w:id="0" w:name="__DdeLink__153_1742605715"/>
            <w:r w:rsidRPr="00F33018">
              <w:rPr>
                <w:rFonts w:ascii="Times New Roman" w:hAnsi="Times New Roman"/>
                <w:sz w:val="16"/>
                <w:szCs w:val="16"/>
              </w:rPr>
              <w:t>Применение упрощенной системы налогообложения (п. 2 , ст. 346.11 НК РФ)</w:t>
            </w:r>
            <w:bookmarkEnd w:id="0"/>
          </w:p>
        </w:tc>
      </w:tr>
      <w:tr w:rsidR="004056AC" w:rsidRPr="00F33018" w:rsidTr="00F33018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 w:rsidP="00F33018">
            <w:pPr>
              <w:pStyle w:val="af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2957 от 04.10.2019 г.</w:t>
            </w:r>
          </w:p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11час.55мин.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ИНН 583608219935</w:t>
            </w:r>
          </w:p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ОГРН 309583611800018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ИП Сурин Олег Владимирович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 w:rsidP="00F33018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r w:rsidRPr="00F33018">
              <w:rPr>
                <w:sz w:val="16"/>
                <w:szCs w:val="16"/>
              </w:rPr>
              <w:t>581 580,00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AC" w:rsidRPr="00F33018" w:rsidRDefault="00F33018">
            <w:pPr>
              <w:pStyle w:val="ac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33018">
              <w:rPr>
                <w:rFonts w:ascii="Times New Roman" w:hAnsi="Times New Roman"/>
                <w:sz w:val="16"/>
                <w:szCs w:val="16"/>
              </w:rPr>
              <w:t>Применение упрощенной системы налогообложения (п. 3 , ст. 346.11 НК РФ)</w:t>
            </w:r>
          </w:p>
        </w:tc>
      </w:tr>
    </w:tbl>
    <w:p w:rsidR="004056AC" w:rsidRPr="00F33018" w:rsidRDefault="00F33018">
      <w:pPr>
        <w:spacing w:after="0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4056AC" w:rsidRPr="00F33018" w:rsidRDefault="00F33018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</w:rPr>
      </w:pPr>
      <w:r w:rsidRPr="00F33018"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4056AC" w:rsidRPr="00F33018" w:rsidRDefault="004056AC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0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00" w:firstRow="0" w:lastRow="0" w:firstColumn="0" w:lastColumn="0" w:noHBand="0" w:noVBand="0"/>
      </w:tblPr>
      <w:tblGrid>
        <w:gridCol w:w="1701"/>
        <w:gridCol w:w="9059"/>
      </w:tblGrid>
      <w:tr w:rsidR="004056AC" w:rsidRPr="00F33018">
        <w:trPr>
          <w:trHeight w:val="267"/>
        </w:trPr>
        <w:tc>
          <w:tcPr>
            <w:tcW w:w="1701" w:type="dxa"/>
            <w:shd w:val="clear" w:color="auto" w:fill="auto"/>
          </w:tcPr>
          <w:p w:rsidR="004056AC" w:rsidRPr="00F33018" w:rsidRDefault="004056A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8" w:type="dxa"/>
            <w:shd w:val="clear" w:color="auto" w:fill="auto"/>
            <w:tcMar>
              <w:right w:w="75" w:type="dxa"/>
            </w:tcMar>
          </w:tcPr>
          <w:p w:rsidR="004056AC" w:rsidRPr="00F33018" w:rsidRDefault="00F3301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 w:rsidRPr="00F33018">
              <w:rPr>
                <w:rFonts w:ascii="Times New Roman" w:hAnsi="Times New Roman"/>
                <w:sz w:val="20"/>
                <w:szCs w:val="20"/>
              </w:rPr>
              <w:t>Герцог Н</w:t>
            </w:r>
            <w:r w:rsidRPr="00F330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4056AC" w:rsidRPr="00F33018">
        <w:trPr>
          <w:trHeight w:val="282"/>
        </w:trPr>
        <w:tc>
          <w:tcPr>
            <w:tcW w:w="1701" w:type="dxa"/>
            <w:shd w:val="clear" w:color="auto" w:fill="auto"/>
          </w:tcPr>
          <w:p w:rsidR="004056AC" w:rsidRPr="00F33018" w:rsidRDefault="004056A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8" w:type="dxa"/>
            <w:shd w:val="clear" w:color="auto" w:fill="auto"/>
            <w:tcMar>
              <w:right w:w="75" w:type="dxa"/>
            </w:tcMar>
          </w:tcPr>
          <w:p w:rsidR="004056AC" w:rsidRPr="00F33018" w:rsidRDefault="00F3301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 w:rsidRPr="00F33018"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 w:rsidRPr="00F330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4056AC" w:rsidRPr="00F33018">
        <w:trPr>
          <w:trHeight w:val="282"/>
        </w:trPr>
        <w:tc>
          <w:tcPr>
            <w:tcW w:w="1701" w:type="dxa"/>
            <w:shd w:val="clear" w:color="auto" w:fill="auto"/>
          </w:tcPr>
          <w:p w:rsidR="004056AC" w:rsidRPr="00F33018" w:rsidRDefault="004056A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8" w:type="dxa"/>
            <w:shd w:val="clear" w:color="auto" w:fill="auto"/>
            <w:tcMar>
              <w:right w:w="75" w:type="dxa"/>
            </w:tcMar>
          </w:tcPr>
          <w:p w:rsidR="004056AC" w:rsidRPr="00F33018" w:rsidRDefault="00F3301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 w:rsidRPr="00F330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Кузнецова В.П.</w:t>
            </w:r>
          </w:p>
        </w:tc>
      </w:tr>
      <w:tr w:rsidR="004056AC" w:rsidRPr="00F33018">
        <w:trPr>
          <w:trHeight w:val="267"/>
        </w:trPr>
        <w:tc>
          <w:tcPr>
            <w:tcW w:w="1701" w:type="dxa"/>
            <w:shd w:val="clear" w:color="auto" w:fill="auto"/>
          </w:tcPr>
          <w:p w:rsidR="004056AC" w:rsidRPr="00F33018" w:rsidRDefault="004056A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8" w:type="dxa"/>
            <w:shd w:val="clear" w:color="auto" w:fill="auto"/>
            <w:tcMar>
              <w:right w:w="75" w:type="dxa"/>
            </w:tcMar>
          </w:tcPr>
          <w:p w:rsidR="004056AC" w:rsidRPr="00F33018" w:rsidRDefault="00F33018" w:rsidP="00F330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 w:rsidRPr="00F330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Юсина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F330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bookmarkStart w:id="1" w:name="_GoBack"/>
            <w:bookmarkEnd w:id="1"/>
          </w:p>
          <w:p w:rsidR="004056AC" w:rsidRPr="00F33018" w:rsidRDefault="004056AC" w:rsidP="00F330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56AC" w:rsidRPr="00F33018" w:rsidRDefault="00F33018" w:rsidP="00F330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 w:rsidRPr="00F330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Горбачев Д.А.</w:t>
            </w:r>
          </w:p>
        </w:tc>
      </w:tr>
      <w:tr w:rsidR="004056AC" w:rsidRPr="00F33018">
        <w:trPr>
          <w:trHeight w:val="282"/>
        </w:trPr>
        <w:tc>
          <w:tcPr>
            <w:tcW w:w="1701" w:type="dxa"/>
            <w:shd w:val="clear" w:color="auto" w:fill="auto"/>
          </w:tcPr>
          <w:p w:rsidR="004056AC" w:rsidRPr="00F33018" w:rsidRDefault="004056A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8" w:type="dxa"/>
            <w:shd w:val="clear" w:color="auto" w:fill="auto"/>
            <w:tcMar>
              <w:right w:w="75" w:type="dxa"/>
            </w:tcMar>
          </w:tcPr>
          <w:p w:rsidR="004056AC" w:rsidRPr="00F33018" w:rsidRDefault="00F33018" w:rsidP="00F330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 w:rsidRPr="00F330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4056AC" w:rsidRDefault="004056AC">
      <w:pPr>
        <w:spacing w:after="0"/>
        <w:contextualSpacing/>
        <w:jc w:val="both"/>
        <w:outlineLvl w:val="2"/>
      </w:pPr>
    </w:p>
    <w:sectPr w:rsidR="004056AC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6AC"/>
    <w:rsid w:val="004056AC"/>
    <w:rsid w:val="007B1399"/>
    <w:rsid w:val="00F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imes New Roman" w:hAnsi="Times New Roman"/>
      <w:b/>
      <w:sz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rFonts w:ascii="Times New Roman" w:hAnsi="Times New Roman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a4">
    <w:name w:val="Текст выноски Знак"/>
    <w:basedOn w:val="a0"/>
    <w:qFormat/>
    <w:rPr>
      <w:rFonts w:ascii="Tahoma" w:hAnsi="Tahoma"/>
      <w:sz w:val="16"/>
    </w:rPr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Основной текст 2 Знак"/>
    <w:basedOn w:val="a0"/>
    <w:qFormat/>
  </w:style>
  <w:style w:type="character" w:customStyle="1" w:styleId="a5">
    <w:name w:val="Текст примечания Знак"/>
    <w:basedOn w:val="a0"/>
    <w:qFormat/>
    <w:rPr>
      <w:lang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BodyTextIndentChar">
    <w:name w:val="Body Text Indent Char"/>
    <w:qFormat/>
    <w:rPr>
      <w:rFonts w:ascii="Times New Roman" w:hAnsi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customStyle="1" w:styleId="title1">
    <w:name w:val="title1"/>
    <w:basedOn w:val="a"/>
    <w:qFormat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c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d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  <w:lang w:eastAsia="ru-RU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14</cp:revision>
  <cp:lastPrinted>2019-10-07T08:26:00Z</cp:lastPrinted>
  <dcterms:created xsi:type="dcterms:W3CDTF">2019-04-23T15:48:00Z</dcterms:created>
  <dcterms:modified xsi:type="dcterms:W3CDTF">2019-10-07T08:36:00Z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